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-81370</wp:posOffset>
            </wp:positionH>
            <wp:positionV relativeFrom="paragraph">
              <wp:posOffset>-420412</wp:posOffset>
            </wp:positionV>
            <wp:extent cx="2120954" cy="499462"/>
            <wp:effectExtent b="0" l="0" r="0" t="0"/>
            <wp:wrapSquare wrapText="bothSides" distB="0" distT="0" distL="0" distR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0954" cy="4994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3948904</wp:posOffset>
            </wp:positionH>
            <wp:positionV relativeFrom="paragraph">
              <wp:posOffset>-420412</wp:posOffset>
            </wp:positionV>
            <wp:extent cx="1941681" cy="537883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1681" cy="5378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ГК «ХимРар» проведет серию мастер-классов для студентов Физтех-школы биологической и медицинской физики МФТИ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течение апреля-мая 2018 года в Московском физико-техническом институте эксперты и лидеры направлений группы компаний «ХимРар» проведут серию  мастер-классов по различным бизнес-тематикам в рамках образовательного курса «Бизнес для чайников». Курс подготовлен для студентов кафедры «Инновационная фармацевтика, медицинская техника и биотехнология»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Физтех-школы биологической и медицинской физики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но приглашаются все студенты МФТИ, кому интересно как реализуются инновационные проекты в области Life Science (живых систем).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40425" cy="509524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95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примере реальных проектов специалисты группы «ХимРар», обладающие практическим опытом, расскажут о различных этапах разработки новых лекарств и медтехники, привлечении инвесторов, юридических и финансовых аспектах ведения бизнеса, об особенностях кадровой политики и построения связей с общественностью и государственными структурами. Из курса студенты вкратце узнают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том,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организуются и проводятся доклинические и клинические исследования, о фармразработке и производстве лекарственных препаратов, а также как осуществляется маркетинг и продажи в России и за рубежом. 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Life Science – одно из приоритетных направлений в МФТИ, и Физтех-школа биологической и медицинской физики охватывает практически все основные технологические тренды в области живых систем, которые уже в ближайшие годы изменят привычный уклад нашей жизни и будут бурно расти еще как минимум несколько десятков лет – это искусственный интеллект и экспертные системы, телемедицина, биоинформатика, неотложная экстремальная и арктическая медицина, фармацевтика и медицинская техника, клеточные и  нейротехнологии и т.д. И важнейшая задача школы – это создание адекватных новым вызовам образовательных программ и подготовка кадров в этих областях. 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школе есть большое количество образовательных направлений и в бакалавриате, и в магистратуре, и в аспирантуре, есть международные программы, и онлайн-курсы. Корме того, школа активно взаимодействует с ведущими научными и индустриальными партерами в России и за рубежом. Такое взаимодействие осуществляется не только в рамках традиционных физтеховских базовых кафедр, но и через программу стажировок студентов в реальных бизнес-проектах партнеров школы, с возможностью последующего трудоустройства в ведущие фармацевтические и биотехнологические компании России.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Так, например, ЦВТ «ХимРар» на регулярной основе приглашает студентов МФТИ в свои проекты, лучшим из них предоставляется возможность пройти летнюю стажировку в научно-исследовательском центре ChemDiv (San Diego, CA 92121, USA).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сегодня наблюдается очень высокий спрос на исследовательские и инженерно-технические кадры, которые обеспечивают базу любой современной технологической компании. Поэтому сотрудничество с МФТИ по подготовке молодых специалистов является важным направлением кадровой политики группы компаний «ХимРар». 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Программа курса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0000ff"/>
            <w:sz w:val="24"/>
            <w:szCs w:val="24"/>
            <w:u w:val="single"/>
            <w:rtl w:val="0"/>
          </w:rPr>
          <w:t xml:space="preserve">здесь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 + чай, кофе и плюшки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проведения: г. Долгопрудный, МФТИ, Биофармкорпус, аудитория 105. 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 группе компаний «ХимРар»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5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Группа компаний «ХимРар» объединяет исследовательские, производственные и инвестиционные компании в области инновационной фармацевтики с целью разработки и коммерциализации инновационных фармацевтических препаратов, средств диагностики, профилактики и новых методов лечения жизнеугрожающих заболеваний в России и за рубежом.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7ab7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www.chemrar.ru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chemrar.ru/" TargetMode="External"/><Relationship Id="rId9" Type="http://schemas.openxmlformats.org/officeDocument/2006/relationships/hyperlink" Target="https://drive.google.com/open?id=1vFirv23QFdhy65t3Yo_LDio1Gmf44R2e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